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Arial" w:hAnsi="Arial" w:cs="Arial" w:eastAsia="Times New Roman"/>
          <w:b/>
          <w:bCs/>
          <w:color w:val="4472C4"/>
          <w:sz w:val="31"/>
          <w:szCs w:val="31"/>
          <w:lang w:eastAsia="ru-RU"/>
        </w:rPr>
      </w:pPr>
      <w:r/>
      <w:bookmarkStart w:id="0" w:name="_GoBack"/>
      <w:r>
        <w:rPr>
          <w:rFonts w:ascii="Arial" w:hAnsi="Arial" w:cs="Arial" w:eastAsia="Times New Roman"/>
          <w:b/>
          <w:bCs/>
          <w:color w:val="4472C4" w:themeColor="accent5"/>
          <w:sz w:val="31"/>
          <w:szCs w:val="31"/>
          <w:lang w:eastAsia="ru-RU"/>
        </w:rPr>
        <w:t xml:space="preserve">Региональная социальная доплата к пенсии</w:t>
      </w:r>
      <w:bookmarkEnd w:id="0"/>
      <w:r/>
    </w:p>
    <w:tbl>
      <w:tblPr>
        <w:tblW w:w="5000" w:type="pct"/>
        <w:tblCellSpacing w:w="0" w:type="dxa"/>
        <w:tblBorders>
          <w:bottom w:val="single" w:color="BBBBBB" w:sz="6" w:space="0"/>
        </w:tblBorders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tbl>
            <w:tblPr>
              <w:tblW w:w="0" w:type="auto"/>
              <w:tblInd w:w="5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CellMar>
                <w:left w:w="75" w:type="dxa"/>
                <w:top w:w="75" w:type="dxa"/>
                <w:right w:w="75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3237"/>
              <w:gridCol w:w="6033"/>
            </w:tblGrid>
            <w:tr>
              <w:trPr>
                <w:trHeight w:val="2113"/>
              </w:trPr>
              <w:tc>
                <w:tcPr>
                  <w:shd w:val="clear" w:color="auto" w:fill="ffffff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1650" w:type="dxa"/>
                  <w:vAlign w:val="center"/>
                  <w:textDirection w:val="lrTb"/>
                  <w:noWrap w:val="false"/>
                </w:tcPr>
                <w:p>
                  <w:pPr>
                    <w:ind w:left="16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ind w:left="16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1. Категории граждан,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имеющих право на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региональную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социальную доплату 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пенсии</w:t>
                  </w:r>
                  <w:r/>
                </w:p>
                <w:p>
                  <w:pPr>
                    <w:ind w:left="16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(далее -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542316"/>
                      <w:lang w:eastAsia="ru-RU"/>
                    </w:rPr>
                    <w:t xml:space="preserve"> доплата)</w:t>
                  </w:r>
                  <w:r/>
                </w:p>
              </w:tc>
              <w:tc>
                <w:tcPr>
                  <w:shd w:val="clear" w:color="auto" w:fill="ffffff"/>
                  <w:tcBorders>
                    <w:top w:val="single" w:color="auto" w:sz="8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6757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Гражданин, не осуществляющий трудовую и (или) иную деятельность,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в период которой он подлежит обязательному пенсионному страхованию 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соответствии с Законом № 167-ФЗ, пенсия (пенсии) которому установлена 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соответствии с законодательством Российской Федерации, у которого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общая сумма материального обеспечения не достигла величины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прожиточного минимума пенсионера, установленной на территории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Иркутской области (далее -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542316"/>
                      <w:lang w:eastAsia="ru-RU"/>
                    </w:rPr>
                    <w:t xml:space="preserve"> пенсионер).</w:t>
                  </w:r>
                  <w:r/>
                </w:p>
              </w:tc>
            </w:tr>
            <w:tr>
              <w:trPr>
                <w:trHeight w:val="1015"/>
              </w:trPr>
              <w:tc>
                <w:tcPr>
                  <w:shd w:val="clear" w:color="auto" w:fill="ffffff"/>
                  <w:tcBorders>
                    <w:top w:val="none" w:color="000000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2269" w:type="dxa"/>
                  <w:vAlign w:val="center"/>
                  <w:textDirection w:val="lrTb"/>
                  <w:noWrap w:val="false"/>
                </w:tcPr>
                <w:p>
                  <w:pPr>
                    <w:ind w:left="16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2. Куда обращаться</w:t>
                  </w:r>
                  <w:r/>
                </w:p>
              </w:tc>
              <w:tc>
                <w:tcPr>
                  <w:shd w:val="clear" w:color="auto" w:fill="ffffff"/>
                  <w:tcBorders>
                    <w:top w:val="none" w:color="000000" w:sz="4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6757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Беззаявительный характер</w:t>
                  </w:r>
                  <w:r/>
                </w:p>
              </w:tc>
            </w:tr>
            <w:tr>
              <w:trPr>
                <w:trHeight w:val="763"/>
              </w:trPr>
              <w:tc>
                <w:tcPr>
                  <w:shd w:val="clear" w:color="auto" w:fill="ffffff"/>
                  <w:tcBorders>
                    <w:top w:val="none" w:color="000000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2269" w:type="dxa"/>
                  <w:vAlign w:val="center"/>
                  <w:textDirection w:val="lrTb"/>
                  <w:noWrap w:val="false"/>
                </w:tcPr>
                <w:p>
                  <w:pPr>
                    <w:ind w:left="16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3. Размер доплаты</w:t>
                  </w:r>
                  <w:r/>
                </w:p>
              </w:tc>
              <w:tc>
                <w:tcPr>
                  <w:shd w:val="clear" w:color="auto" w:fill="ffffff"/>
                  <w:tcBorders>
                    <w:top w:val="none" w:color="000000" w:sz="4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6757" w:type="dxa"/>
                  <w:vAlign w:val="center"/>
                  <w:textDirection w:val="lrTb"/>
                  <w:noWrap w:val="false"/>
                </w:tcPr>
                <w:p>
                  <w:pPr>
                    <w:ind w:firstLine="460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До достижения величины прожиточного минимума пенсионера в</w:t>
                  </w:r>
                  <w:r>
                    <w:rPr>
                      <w:rFonts w:ascii="Arial Unicode MS" w:hAnsi="Arial Unicode MS" w:cs="Times New Roman"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Иркутской области.</w:t>
                  </w:r>
                  <w:r/>
                </w:p>
              </w:tc>
            </w:tr>
            <w:tr>
              <w:trPr>
                <w:trHeight w:val="3398"/>
              </w:trPr>
              <w:tc>
                <w:tcPr>
                  <w:shd w:val="clear" w:color="auto" w:fill="ffffff"/>
                  <w:tcBorders>
                    <w:top w:val="none" w:color="000000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2269" w:type="dxa"/>
                  <w:vAlign w:val="center"/>
                  <w:textDirection w:val="lrTb"/>
                  <w:noWrap w:val="false"/>
                </w:tcPr>
                <w:p>
                  <w:pPr>
                    <w:ind w:left="16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4. Необходимые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документы</w:t>
                  </w:r>
                  <w:r/>
                </w:p>
              </w:tc>
              <w:tc>
                <w:tcPr>
                  <w:shd w:val="clear" w:color="auto" w:fill="ffffff"/>
                  <w:tcBorders>
                    <w:top w:val="none" w:color="000000" w:sz="4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6757" w:type="dxa"/>
                  <w:vAlign w:val="center"/>
                  <w:textDirection w:val="lrTb"/>
                  <w:noWrap w:val="false"/>
                </w:tcPr>
                <w:p>
                  <w:pPr>
                    <w:ind w:firstLine="460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К заявлению прилагаются следующие документы:</w:t>
                  </w:r>
                  <w:r/>
                </w:p>
                <w:p>
                  <w:pPr>
                    <w:numPr>
                      <w:ilvl w:val="0"/>
                      <w:numId w:val="1"/>
                    </w:numPr>
                    <w:jc w:val="both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паспорт или иной документ, удостоверяющий личность пенсионера;</w:t>
                  </w:r>
                  <w:r/>
                </w:p>
                <w:p>
                  <w:pPr>
                    <w:numPr>
                      <w:ilvl w:val="0"/>
                      <w:numId w:val="1"/>
                    </w:numPr>
                    <w:jc w:val="both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документы, удостоверяющие личность и подтверждающие</w:t>
                  </w:r>
                  <w:r>
                    <w:rPr>
                      <w:rFonts w:ascii="Arial" w:hAnsi="Arial" w:cs="Arial"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полномочия пенсионера, - в случае обращения с заявлением представителя</w:t>
                  </w:r>
                  <w:r>
                    <w:rPr>
                      <w:rFonts w:ascii="Arial" w:hAnsi="Arial" w:cs="Arial" w:eastAsia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пенсионера;</w:t>
                  </w:r>
                  <w:r/>
                </w:p>
                <w:p>
                  <w:pPr>
                    <w:numPr>
                      <w:ilvl w:val="0"/>
                      <w:numId w:val="1"/>
                    </w:numPr>
                    <w:jc w:val="both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трудовая книжка (в случае отсутствия трудовой книжки указываются соответствующие сведения в заявлении).</w:t>
                  </w:r>
                  <w:r/>
                </w:p>
              </w:tc>
            </w:tr>
            <w:tr>
              <w:trPr>
                <w:trHeight w:val="2347"/>
              </w:trPr>
              <w:tc>
                <w:tcPr>
                  <w:shd w:val="clear" w:color="auto" w:fill="ffffff"/>
                  <w:tcBorders>
                    <w:top w:val="none" w:color="000000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2269" w:type="dxa"/>
                  <w:vAlign w:val="center"/>
                  <w:textDirection w:val="lrTb"/>
                  <w:noWrap w:val="false"/>
                </w:tcPr>
                <w:p>
                  <w:pPr>
                    <w:ind w:left="16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5. Особые условия</w:t>
                  </w:r>
                  <w:r/>
                </w:p>
              </w:tc>
              <w:tc>
                <w:tcPr>
                  <w:shd w:val="clear" w:color="auto" w:fill="ffffff"/>
                  <w:tcBorders>
                    <w:top w:val="none" w:color="000000" w:sz="4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6757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Доплата устанавливается с 1-го числа месяца, следующего за месяцем,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в котором поступило обращение, но не ранее даты возникновения права.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В случае, если пенсионеру установлены две пенсии, срок установления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доплаты определяется сроком назначения той пенсии, которая установлена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на более длительный срок.</w:t>
                  </w:r>
                  <w:r/>
                </w:p>
              </w:tc>
            </w:tr>
            <w:tr>
              <w:trPr>
                <w:trHeight w:val="1051"/>
              </w:trPr>
              <w:tc>
                <w:tcPr>
                  <w:shd w:val="clear" w:color="auto" w:fill="ffffff"/>
                  <w:tcBorders>
                    <w:top w:val="none" w:color="000000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2269" w:type="dxa"/>
                  <w:vAlign w:val="center"/>
                  <w:textDirection w:val="lrTb"/>
                  <w:noWrap w:val="false"/>
                </w:tcPr>
                <w:p>
                  <w:pPr>
                    <w:ind w:left="16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6. Периодичность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выплаты компенсации</w:t>
                  </w:r>
                  <w:r/>
                </w:p>
              </w:tc>
              <w:tc>
                <w:tcPr>
                  <w:shd w:val="clear" w:color="auto" w:fill="ffffff"/>
                  <w:tcBorders>
                    <w:top w:val="none" w:color="000000" w:sz="4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6757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Ежемесячно за текущий календарный месяц по выбору пенсионера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через кредитные организации, через организации почтовой связи или иные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cs="Arial" w:eastAsia="Times New Roman"/>
                      <w:color w:val="542316"/>
                      <w:sz w:val="21"/>
                      <w:szCs w:val="21"/>
                      <w:lang w:eastAsia="ru-RU"/>
                    </w:rPr>
                    <w:t xml:space="preserve">организации, осуществляющие доставку доплаты.</w:t>
                  </w:r>
                  <w:r/>
                </w:p>
              </w:tc>
            </w:tr>
          </w:tbl>
          <w:p>
            <w:pPr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color w:val="4B4B4B"/>
                <w:sz w:val="25"/>
                <w:szCs w:val="25"/>
                <w:lang w:eastAsia="ru-RU"/>
              </w:rPr>
              <w:t xml:space="preserve">Постановление Правительства Иркутской области от 22 ноября 2019 года № 974-нн «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color w:val="4B4B4B"/>
                <w:sz w:val="25"/>
                <w:szCs w:val="25"/>
                <w:lang w:eastAsia="ru-RU"/>
              </w:rPr>
              <w:t xml:space="preserve">Об установлении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color w:val="4B4B4B"/>
                <w:sz w:val="25"/>
                <w:szCs w:val="25"/>
                <w:lang w:eastAsia="ru-RU"/>
              </w:rPr>
              <w:t xml:space="preserve"> отдельным категориям граждан, проживающим на территории Иркутской области, региональной социальной доплаты к пенсии»</w:t>
            </w: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  <w:t xml:space="preserve"> 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revision>2</cp:revision>
  <dcterms:created xsi:type="dcterms:W3CDTF">2023-08-01T07:20:00Z</dcterms:created>
  <dcterms:modified xsi:type="dcterms:W3CDTF">2025-02-11T04:45:59Z</dcterms:modified>
</cp:coreProperties>
</file>