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Пособие на погребение умершего реабилитированного лица</w:t>
      </w:r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tblCellSpacing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150" w:type="dxa"/>
                <w:top w:w="150" w:type="dxa"/>
                <w:right w:w="150" w:type="dxa"/>
                <w:bottom w:w="150" w:type="dxa"/>
              </w:tblCellMar>
              <w:tblLook w:val="04A0" w:firstRow="1" w:lastRow="0" w:firstColumn="1" w:lastColumn="0" w:noHBand="0" w:noVBand="1"/>
            </w:tblPr>
            <w:tblGrid>
              <w:gridCol w:w="4429"/>
              <w:gridCol w:w="4850"/>
            </w:tblGrid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Категории граждан, получающих данную выплату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Граждане, взявшие на себя обязанность осуществить погребение умершего реабилитированного лица (далее - заявитель).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Куда обращаться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  <w:t xml:space="preserve">ОГБУ "УСЗСОН по Нукутскому району"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  <w:t xml:space="preserve">669401, Иркутская область, Нукутский район, п. Новонукутский, ул. Чехова, 26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 Документы, предоставляемые заявителем (представителем заявителя)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  <w:t xml:space="preserve">1) паспорт заявителя или иной документ, удостоверяющий личность;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  <w:t xml:space="preserve">2) документ, удостоверяющий личность и подтверждающий полномочия представителя заявителя, - в случае обращения с заявлением представителя;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  <w:t xml:space="preserve">3) свидетельство о смерти либо справка о смерти, выданная органом записи актов гражданского состояния;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  <w:t xml:space="preserve">4) платёжные документы, подтверждающие факт и размер произведённых расходов;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1"/>
                      <w:szCs w:val="21"/>
                      <w:lang w:eastAsia="ru-RU"/>
                    </w:rPr>
                    <w:t xml:space="preserve">5) документы умершего реабилитированного лица, подтверждающие право на меры социальной поддержки реабилитированных лиц.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4. Ритуальные услуги, подлежащие возмещению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1) оформление документов, необходимых для погребения;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2) предоставление и доставка гроба и других предметов, необходимых для погребения;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3) перевозка тела (останков) умершего реабилитированного лица на кладбище (в крематорий);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4) погребение (кремация с последующей выдачей урны с прахом).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5. Условия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Возмещение расходов гражданам, взявшим на себя обязанность осуществить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погребение умершего реабилитированного лица, производится, если обращение за ним последовало не позднее шести месяцев со дня смерти умершего реабилитированного лица.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Возмещение расходов осуществляется за вычетом выплачиваемого в соответствии с законодательством социального пособия на погребение.</w:t>
                  </w:r>
                  <w:r/>
                </w:p>
              </w:tc>
            </w:tr>
          </w:tbl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В соответствии с ПОСТАНОВЛЕНИЕМ ПРАВИТЕЛЬСТВА ИРКУТСКОЙ ОБЛАСТИ  «О ПОРЯДКЕ ВОЗМЕЩЕНИЯ РАСХОДОВ ГРАЖДАНАМ, ВЗЯВШИМ НА СЕБЯ ОБЯЗАННОСТЬ ОСУЩЕСТВИТЬ ПОГРЕБЕНИЕ УМЕРШЕГО РЕАБИЛИТИРОВАННОГО ЛИЦА» от 19 мая 2009 г. № 148-пп</w:t>
            </w:r>
            <w:bookmarkStart w:id="0" w:name="_GoBack"/>
            <w:r/>
            <w:bookmarkEnd w:id="0"/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2</cp:revision>
  <dcterms:created xsi:type="dcterms:W3CDTF">2023-08-01T03:17:00Z</dcterms:created>
  <dcterms:modified xsi:type="dcterms:W3CDTF">2025-02-11T03:27:35Z</dcterms:modified>
</cp:coreProperties>
</file>